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E6D" w:rsidRDefault="00335E6D" w:rsidP="005B1C9F">
      <w:pPr>
        <w:widowControl w:val="0"/>
        <w:tabs>
          <w:tab w:val="left" w:pos="9840"/>
        </w:tabs>
        <w:spacing w:after="0" w:line="240" w:lineRule="auto"/>
        <w:ind w:left="6372" w:right="-8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26699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325BFA">
        <w:rPr>
          <w:rFonts w:ascii="Times New Roman" w:eastAsia="Calibri" w:hAnsi="Times New Roman" w:cs="Times New Roman"/>
          <w:sz w:val="24"/>
          <w:szCs w:val="24"/>
        </w:rPr>
        <w:t>8</w:t>
      </w:r>
    </w:p>
    <w:p w:rsidR="00C15B54" w:rsidRPr="00335E6D" w:rsidRDefault="00C15B54" w:rsidP="005B1C9F">
      <w:pPr>
        <w:widowControl w:val="0"/>
        <w:tabs>
          <w:tab w:val="left" w:pos="9840"/>
        </w:tabs>
        <w:spacing w:after="0" w:line="240" w:lineRule="auto"/>
        <w:ind w:left="6372" w:right="-8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35E6D" w:rsidRDefault="0026699F" w:rsidP="005B1C9F">
      <w:pPr>
        <w:widowControl w:val="0"/>
        <w:tabs>
          <w:tab w:val="left" w:pos="9840"/>
        </w:tabs>
        <w:spacing w:after="0" w:line="240" w:lineRule="auto"/>
        <w:ind w:right="-8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  <w:r w:rsidRPr="0026699F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 w:rsidR="00C15B54">
        <w:rPr>
          <w:rFonts w:ascii="Times New Roman" w:eastAsia="Calibri" w:hAnsi="Times New Roman" w:cs="Times New Roman"/>
          <w:sz w:val="24"/>
          <w:szCs w:val="24"/>
        </w:rPr>
        <w:t>№</w:t>
      </w:r>
      <w:r w:rsidR="00335E6D" w:rsidRPr="00335E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3139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574C0F" w:rsidRPr="00335E6D" w:rsidRDefault="00574C0F" w:rsidP="00574C0F">
      <w:pPr>
        <w:widowControl w:val="0"/>
        <w:tabs>
          <w:tab w:val="left" w:pos="9840"/>
        </w:tabs>
        <w:spacing w:after="0" w:line="240" w:lineRule="auto"/>
        <w:ind w:left="5245" w:right="-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E6D" w:rsidRPr="00335E6D" w:rsidRDefault="00335E6D" w:rsidP="00335E6D">
      <w:pPr>
        <w:widowControl w:val="0"/>
        <w:shd w:val="clear" w:color="auto" w:fill="FFFFFF"/>
        <w:spacing w:after="0" w:line="240" w:lineRule="auto"/>
        <w:ind w:right="-8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Требования к организации охраны, пропускного и </w:t>
      </w:r>
      <w:proofErr w:type="spellStart"/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>внутриобъектового</w:t>
      </w:r>
      <w:proofErr w:type="spellEnd"/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режима на строящихся (реконструируемых) объектах Заказчика</w:t>
      </w:r>
    </w:p>
    <w:p w:rsidR="00335E6D" w:rsidRPr="00335E6D" w:rsidRDefault="00335E6D" w:rsidP="00335E6D">
      <w:pPr>
        <w:widowControl w:val="0"/>
        <w:shd w:val="clear" w:color="auto" w:fill="FFFFFF"/>
        <w:spacing w:after="0" w:line="240" w:lineRule="auto"/>
        <w:ind w:right="-8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  <w:t>Принятые сокращения</w:t>
      </w:r>
    </w:p>
    <w:tbl>
      <w:tblPr>
        <w:tblStyle w:val="TableNormal"/>
        <w:tblW w:w="964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32"/>
        <w:gridCol w:w="7512"/>
      </w:tblGrid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tabs>
                <w:tab w:val="left" w:pos="1080"/>
              </w:tabs>
              <w:jc w:val="center"/>
            </w:pPr>
            <w:r w:rsidRPr="00335E6D">
              <w:rPr>
                <w:b/>
                <w:bCs/>
                <w:szCs w:val="26"/>
              </w:rPr>
              <w:t>Сокращение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tabs>
                <w:tab w:val="left" w:pos="1080"/>
              </w:tabs>
              <w:jc w:val="center"/>
            </w:pPr>
            <w:r w:rsidRPr="00335E6D">
              <w:rPr>
                <w:b/>
                <w:bCs/>
                <w:szCs w:val="26"/>
              </w:rPr>
              <w:t>Расшифровка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ИТСО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Инженерно-технические средства охраны.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КПП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Контрольно-пропускной пункт.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ВВ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Взрывчатые вещества.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ВУ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Взрывные устройства.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охранного телевидения.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ТК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Телевизионная камера системы охранного телевидения.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СОС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охранной сигнализации периметра.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КТС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Кнопка тревожной сигнализации.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СТС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Система тревожной сигнализации.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ТМЦ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Товарно-материальные ценности.</w:t>
            </w:r>
          </w:p>
        </w:tc>
      </w:tr>
      <w:tr w:rsidR="00335E6D" w:rsidRPr="00335E6D" w:rsidTr="00D27225">
        <w:trPr>
          <w:cantSplit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b/>
                <w:bCs/>
                <w:szCs w:val="26"/>
              </w:rPr>
              <w:t>ПЦН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jc w:val="both"/>
            </w:pPr>
            <w:r w:rsidRPr="00335E6D">
              <w:rPr>
                <w:szCs w:val="26"/>
              </w:rPr>
              <w:t>Пункт централизованного наблюдения.</w:t>
            </w:r>
          </w:p>
        </w:tc>
      </w:tr>
    </w:tbl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  <w:t>Термины и определения</w:t>
      </w:r>
    </w:p>
    <w:tbl>
      <w:tblPr>
        <w:tblStyle w:val="TableNormal"/>
        <w:tblW w:w="963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04"/>
        <w:gridCol w:w="6935"/>
      </w:tblGrid>
      <w:tr w:rsidR="00335E6D" w:rsidRPr="00335E6D" w:rsidTr="00D27225">
        <w:trPr>
          <w:trHeight w:val="32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Термин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Определение</w:t>
            </w:r>
          </w:p>
        </w:tc>
      </w:tr>
      <w:tr w:rsidR="00335E6D" w:rsidRPr="00335E6D" w:rsidTr="00D27225">
        <w:trPr>
          <w:trHeight w:val="2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Пропускной режим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Комплекс организационно-правовых ограничений и правил, устанавливающих порядок пропуска через контрольно-пропускные пункты руководителей и работников </w:t>
            </w:r>
            <w:r w:rsidRPr="00335E6D">
              <w:rPr>
                <w:i/>
                <w:szCs w:val="26"/>
              </w:rPr>
              <w:t>(наименование ДЗО ПАО «Россети»)</w:t>
            </w:r>
            <w:r w:rsidRPr="00335E6D">
              <w:rPr>
                <w:szCs w:val="26"/>
              </w:rPr>
              <w:t>, осуществляющего функции Заказчика-Застройщика, Подрядчика, посетителей, транспорта, вноса (ввоза) и выноса (вывоза) товарно-материальных ценностей.</w:t>
            </w:r>
            <w:r w:rsidRPr="00335E6D">
              <w:rPr>
                <w:b/>
                <w:bCs/>
                <w:szCs w:val="26"/>
              </w:rPr>
              <w:t xml:space="preserve">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proofErr w:type="spellStart"/>
            <w:r w:rsidRPr="00335E6D">
              <w:rPr>
                <w:b/>
                <w:bCs/>
                <w:szCs w:val="26"/>
              </w:rPr>
              <w:t>Внутриобъектовый</w:t>
            </w:r>
            <w:proofErr w:type="spellEnd"/>
            <w:r w:rsidRPr="00335E6D">
              <w:rPr>
                <w:b/>
                <w:bCs/>
                <w:szCs w:val="26"/>
              </w:rPr>
              <w:t xml:space="preserve"> режим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Порядок, установленный заказчиком строительства/реконструкции объектов, не противоречащий законодательству Российской Федерации, доведенный до сведения персонала и посетителей объектов охраны и обеспечиваемый совокупностью мероприятий и правил, выполняемых лицами, находящимися на объектах охраны, в соответствии с правилами внутреннего трудового распорядка и требованиями пожарной безопасности.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Объект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1"/>
            </w:pPr>
            <w:r w:rsidRPr="00335E6D">
              <w:rPr>
                <w:szCs w:val="26"/>
              </w:rPr>
              <w:t>Строящиеся (реконструируемые) в соответствии с договором трансформаторные подстанции (ПС), воздушные, кабельные ЛЭП, а также занимаемая объектом охраняемая территория.</w:t>
            </w:r>
          </w:p>
        </w:tc>
      </w:tr>
      <w:tr w:rsidR="00335E6D" w:rsidRPr="00335E6D" w:rsidTr="00D27225">
        <w:trPr>
          <w:trHeight w:val="40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Подрядчик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Организация, выполняющая строительно-монтажные работы на объекте на основании заключенного договора, в том числе субподрядчик (организация, выполняющая строительно-монтажные работы на объекте на основании договора субподряда с Подрядчиком).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Стационарные объекты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Строящиеся (реконструируемые) подстанции, объекты (вне территорий действующих подстанций, объектов).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Линейные объекты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Линии электропередачи, линии связи (в том числе линейно-кабельные сооружения) и другие подобные сооружения.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Автостоянка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Часть занимаемой Объектом территории, предназначенная для стоянки автомашин служебного назначения и работников </w:t>
            </w:r>
            <w:r w:rsidRPr="00335E6D">
              <w:rPr>
                <w:i/>
                <w:szCs w:val="26"/>
              </w:rPr>
              <w:t>(наименование ДЗО ПАО «Россети»)</w:t>
            </w:r>
            <w:r w:rsidRPr="00335E6D">
              <w:rPr>
                <w:szCs w:val="26"/>
              </w:rPr>
              <w:t xml:space="preserve">, автотранспорта Подрядчика и посетителей.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b/>
                <w:bCs/>
                <w:szCs w:val="26"/>
              </w:rPr>
              <w:t>Контрольно-пропускной пункт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Специально оборудованное место, предназначенное для контроля прохода физических лиц и проезда автотранспорта на территорию, занимаемую объектом.</w:t>
            </w:r>
          </w:p>
        </w:tc>
      </w:tr>
      <w:tr w:rsidR="00335E6D" w:rsidRPr="00335E6D" w:rsidTr="00D27225">
        <w:trPr>
          <w:trHeight w:val="255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b/>
                <w:bCs/>
                <w:szCs w:val="26"/>
              </w:rPr>
              <w:lastRenderedPageBreak/>
              <w:t>Документы, удостоверяющие личность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 паспорт гражданина Российской Федерации, в том числе удостоверяющий личность гражданина Российской Федерации за пределами Российской Федерации (если гражданин Российской Федерации постоянно проживает за пределами Российской Федерации);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 дипломатический паспорт гражданина Российской Федерации;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>- служебный паспорт гражданина Российской Федерации;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удостоверение личности офицера для военнослужащего (офицера, прапорщика, мичмана);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военный билет солдата (матроса, сержанта, старшины), военный билет офицера запаса;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- паспорт моряка или удостоверение личности моряка (для лиц, работающих на российских судах заграничного плавания или иностранных судах);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- временное удостоверение личности гражданина Российской Федерации.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Служебные удостоверения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 xml:space="preserve">Документ установленного образца, удостоверяющий положение и занимаемую работником должность, подтверждающий его полномочия и права при исполнении служебных обязанностей.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 xml:space="preserve">Подразделение охраны 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Работники охранной организации, осуществляющие охрану объекта, в соответствии с договором на оказание охранных услуг.</w:t>
            </w:r>
          </w:p>
        </w:tc>
      </w:tr>
      <w:tr w:rsidR="00335E6D" w:rsidRPr="00335E6D" w:rsidTr="00D27225">
        <w:trPr>
          <w:trHeight w:val="1421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Охранная организация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  <w:rPr>
                <w:szCs w:val="26"/>
              </w:rPr>
            </w:pPr>
            <w:r w:rsidRPr="00335E6D">
              <w:rPr>
                <w:szCs w:val="26"/>
              </w:rPr>
              <w:t xml:space="preserve">Организация, зарегистрированная в установленном законом порядке и имеющая право на осуществление охранной деятельности. </w:t>
            </w:r>
          </w:p>
          <w:p w:rsidR="00335E6D" w:rsidRPr="00335E6D" w:rsidRDefault="00335E6D" w:rsidP="00335E6D">
            <w:pPr>
              <w:widowControl w:val="0"/>
              <w:ind w:right="-8"/>
              <w:jc w:val="both"/>
              <w:outlineLvl w:val="0"/>
            </w:pPr>
            <w:r w:rsidRPr="00335E6D">
              <w:rPr>
                <w:szCs w:val="26"/>
              </w:rPr>
              <w:t xml:space="preserve">В соответствии с требованиями статьи 9 Федерального закона от 21.07.2011 № 256-ФЗ «О безопасности объектов топливно-энергетического комплекса» для обеспечения физической защиты объекта топливно-энергетического комплекса могут привлекаться подразделения и (или) организации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подразделения ведомственной охраны, частные охранные организации в зависимости от категории объекта и в соответствии с паспортом безопасности объекта топливно-энергетического комплекса. </w:t>
            </w:r>
          </w:p>
        </w:tc>
      </w:tr>
      <w:tr w:rsidR="00335E6D" w:rsidRPr="00335E6D" w:rsidTr="00D27225">
        <w:trPr>
          <w:trHeight w:val="5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b/>
                <w:bCs/>
                <w:szCs w:val="26"/>
              </w:rPr>
              <w:t>Работник охраны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E6D" w:rsidRPr="00335E6D" w:rsidRDefault="00335E6D" w:rsidP="00335E6D">
            <w:pPr>
              <w:widowControl w:val="0"/>
              <w:ind w:right="-8"/>
              <w:jc w:val="both"/>
            </w:pPr>
            <w:r w:rsidRPr="00335E6D">
              <w:rPr>
                <w:szCs w:val="26"/>
              </w:rPr>
              <w:t>Гражданин Российской Федерации, достигший восемнадцати лет, прошедший профессиональную подготовку для работы в качестве охранника, сдавший квалификационный экзамен, получивший в установленном порядке удостоверение охранника и работающий по трудовому договору с охранной организацией.</w:t>
            </w:r>
          </w:p>
        </w:tc>
      </w:tr>
    </w:tbl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lang w:eastAsia="ru-RU"/>
        </w:rPr>
      </w:pPr>
    </w:p>
    <w:p w:rsidR="00335E6D" w:rsidRPr="00335E6D" w:rsidRDefault="00335E6D" w:rsidP="00335E6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5E6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335E6D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1.1. Настоящие Требования определяют порядок обеспечения безопасности, охраны и антитеррористической защищенности объектов, на период их строительства (реконструкции), определяет перечень угроз безопасности объектам и основные требования к организации мероприятий по предотвращению указанных угроз.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1.2. Охрана строительного имущества, материалов и оборудования осуществляется Подрядчиком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даты подписания «Акта приемки законченного строительством объекта приемочной комиссией» самостоятельно за счет собственных сил и средств.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1.3. К охране Объекта и организации на нем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 Подрядчик привлекает Охранную организацию. Выбор Охранной организации согласуется с Заказчиком путем уведомления.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1.4. 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</w:t>
      </w:r>
      <w:r w:rsidRPr="00335E6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>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D51D7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36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Мероприятия по предотвращению угроз безопасности Объекта</w:t>
      </w:r>
    </w:p>
    <w:p w:rsidR="00335E6D" w:rsidRPr="00335E6D" w:rsidRDefault="00335E6D" w:rsidP="00335E6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Основной перечень мероприятий по обеспечению безопасности строящегося Объекта, осуществляемых Подрядчиком на весь период строительства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Подрядчику до подписания Акта приемки законченного строительством объекта приемочной комиссией, включает: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2.1. На стационарных Объектах:</w:t>
      </w:r>
    </w:p>
    <w:p w:rsidR="00335E6D" w:rsidRPr="00335E6D" w:rsidRDefault="00335E6D" w:rsidP="00D51D7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2149"/>
          <w:tab w:val="left" w:pos="709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u w:color="00B05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возведение временного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ограждения Объекта; </w:t>
      </w:r>
    </w:p>
    <w:p w:rsidR="00335E6D" w:rsidRPr="00335E6D" w:rsidRDefault="00335E6D" w:rsidP="00D51D7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2149"/>
          <w:tab w:val="left" w:pos="709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организацию охраны Объекта, в том числе осуществление пропускного режима въезда/выезда (с возможностью осмотра) транспортных средств, входа/выхода персонала и посетителей, а также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режима;</w:t>
      </w:r>
    </w:p>
    <w:p w:rsidR="00335E6D" w:rsidRPr="00335E6D" w:rsidRDefault="00335E6D" w:rsidP="00D51D7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2149"/>
          <w:tab w:val="left" w:pos="709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обеспечение охраны материалов, оборудования и запасных частей к нему;</w:t>
      </w:r>
    </w:p>
    <w:p w:rsidR="00335E6D" w:rsidRPr="00335E6D" w:rsidRDefault="00335E6D" w:rsidP="00D51D7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2149"/>
          <w:tab w:val="left" w:pos="709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контроль материалов, оборудования и конструкций, поставляемых на строительные площадки, в целях обеспечения антитеррористической защищенности;</w:t>
      </w:r>
    </w:p>
    <w:p w:rsidR="00335E6D" w:rsidRPr="00335E6D" w:rsidRDefault="00335E6D" w:rsidP="00D51D76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2149"/>
          <w:tab w:val="left" w:pos="709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монтаж временных ИТСО, в том числе системы охранной сигнализации, системы охранного телевидения (видеонаблюдения), кнопки тревожной сигнализации, охранного освещения, а также шлагбаума, эстакады с площадкой для осмотра транспортных средств и грузов, турникета на КПП.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2.2. На линейных Объектах: </w:t>
      </w:r>
    </w:p>
    <w:p w:rsidR="00335E6D" w:rsidRPr="00335E6D" w:rsidRDefault="00335E6D" w:rsidP="00D51D76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контроль материалов, оборудования и конструкций, поставляемых на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приобъектовые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склады, в целях обеспечения антитеррористической защищенности;</w:t>
      </w:r>
    </w:p>
    <w:p w:rsidR="00335E6D" w:rsidRPr="00335E6D" w:rsidRDefault="00335E6D" w:rsidP="00D51D76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организацию охраны Объекта путем патрулирования и/или с применением стационарных постов в период проведения скрытых работ, монтажа (укладки) конструкций, оборудования Объекта;</w:t>
      </w:r>
    </w:p>
    <w:p w:rsidR="00335E6D" w:rsidRPr="00335E6D" w:rsidRDefault="00335E6D" w:rsidP="00D51D76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организацию проверок состояния линейного Объекта путем регулярного патрулирования, с целью предотвращения фактов повреждения или хищения оборудования, а также с целью своевременного обнаружения факторов, способных нарушить дальнейшую эксплуатацию объекта или причинить вред жизни и здоровью граждан.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  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3. Требования к ИТСО строящегося Объекта</w:t>
      </w:r>
    </w:p>
    <w:p w:rsidR="00335E6D" w:rsidRPr="005E738B" w:rsidRDefault="00335E6D" w:rsidP="00D51D76">
      <w:pPr>
        <w:pStyle w:val="a6"/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5E738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внешним ограждающим конструкциям, ИТСО детализируются применительно к конкретному объекту исходя из особенностей его дислокации, криминогенной обстановки и выполняются Подрядчиком в течение всего периода строительства с момента начала выполнения Подрядчиком подготовительных, строительно-монтажных работ по Договору (в соответствии с Графиком выполнения работ, поставок и объемов финансирования) и/или подписания Акта приема-передачи строительной площадки Подрядчик до подписания </w:t>
      </w:r>
      <w:r w:rsidRPr="005E738B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bdr w:val="nil"/>
          <w:lang w:eastAsia="ru-RU"/>
        </w:rPr>
        <w:t>Акта приемки законченного строительством объекта приемочной комиссией</w:t>
      </w:r>
      <w:r w:rsidRPr="005E738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соответствии с ГОСТ 23407-78 «Ограждения инвентарные строительных площадок и участков производства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(при необходимости соответствовать требованиям ФСО России).</w:t>
      </w:r>
    </w:p>
    <w:p w:rsidR="00335E6D" w:rsidRPr="001B479D" w:rsidRDefault="00335E6D" w:rsidP="00D51D76">
      <w:pPr>
        <w:pStyle w:val="a6"/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1B479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Временное ограждение периметра территории строящегося Объекта должно препятствовать проходу лиц и проезду транспортных средств на Объект и с Объекта, минуя КПП.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Высота временного внешнего ограждения территории строительства Объекта должна составлять не менее 2 (двух) метров, дополнительно применяется верхнее ограждение в виде спирального барьера типа «Егоза».            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Внешнее ограждение не должно иметь пролазов, проломов и других повреждений, а также не запираемых дверей, ворот, калиток и т.д.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организации прохода людей и проезда транспортных средств оборудуется КПП со шлагбаумом, турникетом и площадкой для осуществления осмотра транспортных средств и ввозимых грузов, при необходимости устанавливаются дополнительные ворота для въезда/выезда транспортных средств. 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КПП и их месторасположения должны выбираться в соответствии с утвержденной рабочей документации объекта строительства.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На КПП осуществляются контроль правомочности прохода (проезда) и идентификация проходящих лиц (проезжающих транспортных средств), обеспечивается санкционированный доступ персонала, посетителей и командированных лиц на Объект, принимаются меры по предотвращению несанкционированного проноса и провоза запрещенных (ограниченных в обороте) предметов (веществ).</w:t>
      </w:r>
    </w:p>
    <w:p w:rsidR="00335E6D" w:rsidRPr="00335E6D" w:rsidRDefault="00335E6D" w:rsidP="00D51D76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системе охранной сигнализации периметра строящегося Объекта. 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обнаружения попыток преодоления ограждения путем пролома или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перелазания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применяется система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однорубежной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сигнализации на основе вибрационной системы охраны.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Технические средства для охраны периметра территории Объекта должны обеспечивать: заданный режим охраны; надежность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Все оборудование, входящее в СОС периметра, должно иметь защиту от вскрытия (несанкционированного доступа).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Вывод информации от датчиков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периметральной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охраны должен осуществятся под управлением единого программного обеспечения.</w:t>
      </w:r>
    </w:p>
    <w:p w:rsidR="00335E6D" w:rsidRPr="00335E6D" w:rsidRDefault="00335E6D" w:rsidP="00D51D76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Требования к системе охранного телевидения строящегося Объекта. 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СОТ должна решать следующие задачи:</w:t>
      </w:r>
    </w:p>
    <w:p w:rsidR="00335E6D" w:rsidRPr="00335E6D" w:rsidRDefault="00335E6D" w:rsidP="00D51D76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 наблюдение - оценка обстановки на просматриваемом участке территории (сцене); </w:t>
      </w:r>
    </w:p>
    <w:p w:rsidR="00335E6D" w:rsidRPr="00335E6D" w:rsidRDefault="00335E6D" w:rsidP="00D51D76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 верификации тревог - просмотр оператором необходимой сцены по сигналу от </w:t>
      </w:r>
      <w:proofErr w:type="spellStart"/>
      <w:r w:rsidRPr="00335E6D">
        <w:rPr>
          <w:rFonts w:ascii="Times New Roman" w:eastAsia="Calibri" w:hAnsi="Times New Roman" w:cs="Times New Roman"/>
          <w:sz w:val="24"/>
          <w:szCs w:val="24"/>
        </w:rPr>
        <w:t>извещателей</w:t>
      </w:r>
      <w:proofErr w:type="spellEnd"/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 охранной сигнализации для подтверждения факта нештатной ситуации; </w:t>
      </w:r>
    </w:p>
    <w:p w:rsidR="00335E6D" w:rsidRPr="00335E6D" w:rsidRDefault="00335E6D" w:rsidP="00D51D76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 xml:space="preserve">- регистрации событий (видеозаписи); </w:t>
      </w:r>
    </w:p>
    <w:p w:rsidR="00335E6D" w:rsidRPr="00335E6D" w:rsidRDefault="00335E6D" w:rsidP="00D51D76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5E6D">
        <w:rPr>
          <w:rFonts w:ascii="Times New Roman" w:eastAsia="Calibri" w:hAnsi="Times New Roman" w:cs="Times New Roman"/>
          <w:sz w:val="24"/>
          <w:szCs w:val="24"/>
        </w:rPr>
        <w:t>- автоматического обнаружения проникновения - анализ изображения и выдача сигнала тревоги по обнаружению движения.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Применение охранного телевидения позволяет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 Объекта.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В состав СОТ согласно ГОСТ Р 51558-2008 «Средства и системы охранные телевизионные. Классификация. Общие технические требования. Методы испытаний» входят: ТК; видеомонитор; источник электропитания, в том числе резервный; линии передачи видеосигналов любого типа; устройство управления и коммутации видеосигналов;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видеонакопитель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; линии связи.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Время хранения записи телевизионного сигнала с ТК должно быть не менее 15 (пятнадцати) суток.</w:t>
      </w:r>
    </w:p>
    <w:p w:rsidR="00335E6D" w:rsidRPr="00335E6D" w:rsidRDefault="00335E6D" w:rsidP="00D51D76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0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системе тревожной сигнализации строящегося Объекта.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 соответствии с ГОСТ Р 50775-95 «Системы тревожной сигнализации» для оперативной передачи сообщений о нештатных ситуациях и противоправных действиях в отношении охранников, персонала или посетителей Объекта рекомендуется устанавливать КТС с выводом сигнала на ПЦН или в дежурную часть органов внутренних дел.</w:t>
      </w:r>
    </w:p>
    <w:p w:rsidR="00335E6D" w:rsidRPr="00335E6D" w:rsidRDefault="00335E6D" w:rsidP="00D51D76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30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электроснабжению технических средств охраны.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Установленные на Объекте технические средства охраны в соответствии с РД 78.36.003-2002 «Инженерно-техническая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укрепленность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. Технические средства охраны. Требования и нормы проектирования по защите объектов от преступных посягательств» рекомендуется относить к 1 категории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электроприемников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по надежности электроснабжения согласно правилам устройства электроустановок, в силу чего их электропитание должно быть бесперебойным (либо от двух независимых источников переменного тока, либо от одного источника переменного тока с автоматическим переключением в аварийном режиме на резервное питание от аккумуляторных батарей).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 использовании в качестве резервного источника питания аккумуляторной батареи должна обеспечиваться работа переключателей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извещателей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и тревожной сигнализации в течение не менее 24 (двадцати четырех) часов в дежурном режиме и в течение не менее 3(трех) часов в режиме тревоги.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Переход ИТСО на работу от резервного источника электропитания и обратно должен осуществляться автоматически без выдачи сигналов тревоги.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Защитное заземление или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зануление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ИТСО, соединительных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ответвительных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коробок и других элементов должно соответствовать требованиям Правил устройства электроустановок, утвержденных приказом Минэнерго России от 08.07.2002 № 204, СНиП 3 05.06-85 «Электротехнические устройства», РД 78. 145-93 «Системы и комплексы охранной, пожарной и охранно-пожарной сигнализации. Правила производства и приемки работ» и технической документации на изделия.</w:t>
      </w:r>
    </w:p>
    <w:p w:rsidR="00335E6D" w:rsidRPr="00335E6D" w:rsidRDefault="00335E6D" w:rsidP="00D51D76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Требования к освещению строительной площадки.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Осветительные приборы охранного освещения могут быть любых типов: подъемные, консольные, прожекторные и иные.</w:t>
      </w:r>
    </w:p>
    <w:p w:rsidR="00335E6D" w:rsidRPr="00335E6D" w:rsidRDefault="00335E6D" w:rsidP="00D51D76">
      <w:pPr>
        <w:widowControl w:val="0"/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Для нужд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периметрального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охранного освещения необходимо применять энергосберегающие светодиодные светильники.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  <w:tab w:val="left" w:pos="128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4. Требования к временным ИТСО реконструируемого Объекта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Требования к внешним ограждающим конструкциям реконструируемого Объекта регламентируются ГОСТ 23407-78 «Ограждения инвентарные строительных площадок и участков производства строительно-монтажных работ»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строительства.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(в соответствии с Графиком выполнения работ, поставок и объемов финансирования) до подписания Акта приемки законченного строительством объекта приемочной комиссией.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4.1.1. 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4.1.2. Высота внешнего ограждения территории строительных площадок и участков производства строительно-монтажных работ на Объекте должна составлять не менее 2-х метров, дополнительно применяется верхнее ограждение в виде спирального барьера типа «Егоза».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4.1.3. Ограждение не должно иметь пролазов, проломов и других повреждений, а также не запираемых ворот, калиток и т.д.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4.1.4. Организация прохода людей и проезда транспортных средств осуществляется через действующее КПП объекта.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 Требования к системе охранной сигнализации периметра строительных площадок и участков производства строительно-монтажных работ.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4.2.1. В соответствии с РД 78.145-93 «Системы и комплексы охранной, пожарной и охранно-пожарной сигнализации. Правила производства и приемки работ» технические средства охранной сигнализации периметра размещаются на ограждении строительных площадок и участков производства строительно-монтажных работ и могут быть любого принципа действия.</w:t>
      </w: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4.2.2. Технические средства для охраны периметра должны обеспечивать: заданный режим охраны; надежность в работе и отсутствие ложных сигналов тревоги от воздействия метеорологических факторов и других помех; невозможность преодоления системы охраны; одновременный прием сигналов тревоги с любого блокированного участка с определением места нарушения.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4.2.3. Все оборудование, входящее в СОС периметра, должно иметь защиту от вскрытия (несанкционированного доступа).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 Требования к системе охранного телевидения.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4.3.1. Устанавливаемая СОТ на периметре строительных площадок и участков производства строительно-монтажных работ должна обеспечивать передачу визуальной информации о состоянии контролируемых зон. Применение охранного телевидения позволяет в случае получения извещения о тревоге определить характер нарушения, место нарушения, направление движения нарушителя, выработать оптимальные меры противодействия. Кроме того, система охранного телевидения позволяет проводить наблюдение охраняемых зон.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4.3.2. В темное время суток, если освещенность охраняемой зоны ниже чувствительности ТК, Объект (зона объекта) должен оборудоваться охранным освещением видимого диапазона. Зоны охранного освещения должны совпадать с зоной обзора ТК.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4.3.3. Время хранения записи телевизионного сигнала должно быть не менее 15 суток.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4.4. Требования к электроснабжению технических средств охраны.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4.4.1. При использовании в качестве резервного источника питания аккумуляторной батареи должна обеспечиваться работа переключателей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извещателей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охранной и тревожной сигнализации в течение не менее 24 часов в дежурном режиме и в течение не менее 3 часов в режиме тревоги.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4.4.2. Переход ИТСО на работу от резервного источника электропитания и обратно должен осуществляться автоматически без выдачи сигналов тревоги.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4.5. Требования к освещению строительной площадки.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4.5.1. Освещение строительной площадки должно обеспечить необходимую освещенность периметра и создать условия видимости для физической охраны Объекта и СОТ.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4.5.2. Осветительные приборы охранного освещения могут быть любого типа: подъемные, консольные, прожекторные и иные.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20"/>
          <w:tab w:val="left" w:pos="128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5. Требования к охранной организации по осуществлению мероприятий по физической защите Объекта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5.1. Охранная организация по условиям заключаемого с Подрядчиком договора должна:</w:t>
      </w:r>
    </w:p>
    <w:p w:rsidR="00335E6D" w:rsidRPr="00335E6D" w:rsidRDefault="00335E6D" w:rsidP="00D51D76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быть зарегистрирована в установленном законодательством Российской Федерации порядке;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обладать необходимыми разрешительными документами на предоставление услуг по охране объектов и обеспечению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режима; 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иметь подготовленный персонал для оказания охранных услуг в круглосуточном режиме с опытом охраны Объекта соответствующего класса, аналогичному строящемуся;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обеспечить документами, удостоверяющими личность, работника охраны, обеспечить форменной одеждой и экипировкой, соответствующими характеру оказываемых услуг специальными средствами (палка резиновая, наручники и т.д.) с момента начала оказания услуг в количестве, достаточном для оказания услуг;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организовывать проведение проверок (плановых/внеплановых) выполнения функциональных обязанностей работниками охранных организаций;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разработать порядок взаимодействия с территориальными органами (подразделениями) ФСБ РФ, МВД РФ и МЧС РФ, а также схемы оповещения и вызова персонала на случай возникновения чрезвычайной ситуации;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разработать и согласовать с Заказчиком документацию, регламентирующую пропускной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внутриобъектовый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 на Объекте в соответствии с требованиями организационно-распорядительных документов Заказчика;</w:t>
      </w:r>
    </w:p>
    <w:p w:rsidR="00335E6D" w:rsidRPr="00335E6D" w:rsidRDefault="00335E6D" w:rsidP="00D51D7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незамедлительно информировать Заказчика и правоохранительные органы о противоправных действиях в отношении персонала подрядных организаций, находящегося на Объектах, а также непосредственно Объектов строительства.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*Примечание: указывается организационно-распорядительный документ, действующий на дату заключения настоящего Договора.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6. Требования к оказываемым услугам в области организации</w:t>
      </w:r>
      <w:r w:rsidR="00D51D76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пропускного и </w:t>
      </w:r>
      <w:proofErr w:type="spellStart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режима Объекта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6.1. При реализации мероприятий пропускного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внутриобъектового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 Охранная организация должна:</w:t>
      </w:r>
    </w:p>
    <w:p w:rsidR="00335E6D" w:rsidRPr="00335E6D" w:rsidRDefault="00335E6D" w:rsidP="00D51D76">
      <w:pPr>
        <w:widowControl w:val="0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осуществлять пропускной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внутриобъектовый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 в соответствии с утвержденными Заказчиком инструкциями «О пропускном и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внутриобъектовом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режимах», разработанными в соответствии с требованиями организационно-распорядительных документов Заказчика; </w:t>
      </w:r>
    </w:p>
    <w:p w:rsidR="00335E6D" w:rsidRPr="00335E6D" w:rsidRDefault="00335E6D" w:rsidP="00D51D76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Заказчика, а также представителей Заказчика при предъявлении данными работниками/представителями необходимых документов и служебных удостоверений;</w:t>
      </w:r>
    </w:p>
    <w:p w:rsidR="00335E6D" w:rsidRPr="00335E6D" w:rsidRDefault="00335E6D" w:rsidP="00D51D76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работники охраны Объекта должны быть обеспечены техническими средствами осмотра (осмотровые зеркала, </w:t>
      </w:r>
      <w:proofErr w:type="spellStart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металлодетекторы</w:t>
      </w:r>
      <w:proofErr w:type="spellEnd"/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, переносные приборы для обнаружения радиоактивных материалов), приобретаемыми за счет средств охранной организации;</w:t>
      </w:r>
    </w:p>
    <w:p w:rsidR="00335E6D" w:rsidRPr="00335E6D" w:rsidRDefault="00335E6D" w:rsidP="00D51D76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у охраны Объекта на КПП должен находиться полный перечень служебной документации, разработанной Подрядчиком и согласованной с Заказчиком, а также в соответствии с ведомственными требованиями и рекомендациями МВД РФ. </w:t>
      </w:r>
    </w:p>
    <w:p w:rsidR="00335E6D" w:rsidRPr="00335E6D" w:rsidRDefault="00335E6D" w:rsidP="00D51D7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335E6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*Примечание: указывается организационно-распорядительный документ, действующий на дату заключения настоящего Договора.</w:t>
      </w:r>
    </w:p>
    <w:p w:rsidR="00335E6D" w:rsidRPr="00335E6D" w:rsidRDefault="00335E6D" w:rsidP="00D51D76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5E6D" w:rsidRDefault="00335E6D" w:rsidP="00335E6D">
      <w:pPr>
        <w:rPr>
          <w:rFonts w:ascii="Calibri" w:eastAsia="Calibri" w:hAnsi="Calibri" w:cs="Times New Roman"/>
          <w:b/>
          <w:bCs/>
        </w:rPr>
      </w:pPr>
    </w:p>
    <w:p w:rsidR="00FC328D" w:rsidRDefault="00FC328D" w:rsidP="00335E6D">
      <w:pPr>
        <w:rPr>
          <w:rFonts w:ascii="Calibri" w:eastAsia="Calibri" w:hAnsi="Calibri" w:cs="Times New Roman"/>
          <w:b/>
          <w:bCs/>
        </w:rPr>
      </w:pPr>
    </w:p>
    <w:p w:rsidR="00FC328D" w:rsidRDefault="00FC328D" w:rsidP="00335E6D">
      <w:pPr>
        <w:rPr>
          <w:rFonts w:ascii="Calibri" w:eastAsia="Calibri" w:hAnsi="Calibri" w:cs="Times New Roman"/>
          <w:b/>
          <w:bCs/>
        </w:rPr>
      </w:pPr>
    </w:p>
    <w:p w:rsidR="00FC328D" w:rsidRDefault="00FC328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1B479D" w:rsidRDefault="001B479D" w:rsidP="00335E6D">
      <w:pPr>
        <w:rPr>
          <w:rFonts w:ascii="Calibri" w:eastAsia="Calibri" w:hAnsi="Calibri" w:cs="Times New Roman"/>
          <w:b/>
          <w:bCs/>
        </w:rPr>
      </w:pPr>
    </w:p>
    <w:p w:rsidR="00FC328D" w:rsidRDefault="00FC328D" w:rsidP="00335E6D">
      <w:pPr>
        <w:rPr>
          <w:rFonts w:ascii="Calibri" w:eastAsia="Calibri" w:hAnsi="Calibri" w:cs="Times New Roman"/>
          <w:b/>
          <w:bCs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371" w:right="-8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Приложение 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371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к Требованиям</w:t>
      </w:r>
    </w:p>
    <w:p w:rsidR="008D3897" w:rsidRPr="008D3897" w:rsidRDefault="008D3897" w:rsidP="008D389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3897">
        <w:rPr>
          <w:rFonts w:ascii="Times New Roman" w:eastAsia="Calibri" w:hAnsi="Times New Roman" w:cs="Times New Roman"/>
          <w:b/>
          <w:bCs/>
          <w:sz w:val="24"/>
          <w:szCs w:val="24"/>
        </w:rPr>
        <w:t>ФОРМА</w:t>
      </w: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3897" w:rsidRPr="008D3897" w:rsidRDefault="008D3897" w:rsidP="008D3897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3897">
        <w:rPr>
          <w:rFonts w:ascii="Times New Roman" w:eastAsia="Calibri" w:hAnsi="Times New Roman" w:cs="Times New Roman"/>
          <w:b/>
          <w:bCs/>
          <w:sz w:val="24"/>
          <w:szCs w:val="24"/>
        </w:rPr>
        <w:t>Акт о нарушении Требований к организации охраны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_________________</w:t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________________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(место составления)</w:t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(дата составления)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1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39"/>
        <w:gridCol w:w="4571"/>
      </w:tblGrid>
      <w:tr w:rsidR="008D3897" w:rsidRPr="008D3897" w:rsidTr="00D27225">
        <w:trPr>
          <w:trHeight w:val="311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firstLine="567"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color w:val="000000"/>
                <w:sz w:val="24"/>
                <w:szCs w:val="24"/>
                <w:u w:color="000000"/>
              </w:rPr>
              <w:t>Наименование Объекта проверки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ind w:firstLine="567"/>
              <w:jc w:val="center"/>
              <w:rPr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color w:val="000000"/>
                <w:sz w:val="24"/>
                <w:szCs w:val="24"/>
                <w:u w:color="000000"/>
              </w:rPr>
              <w:t>Реквизиты Договора</w:t>
            </w:r>
          </w:p>
        </w:tc>
      </w:tr>
      <w:tr w:rsidR="008D3897" w:rsidRPr="008D3897" w:rsidTr="00D27225">
        <w:trPr>
          <w:trHeight w:val="1017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Содержание Акта*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072"/>
        </w:tabs>
        <w:spacing w:after="0" w:line="240" w:lineRule="auto"/>
        <w:ind w:right="418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5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2"/>
      </w:tblGrid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319"/>
          <w:jc w:val="center"/>
        </w:trPr>
        <w:tc>
          <w:tcPr>
            <w:tcW w:w="95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9072"/>
              </w:tabs>
              <w:ind w:right="418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tbl>
      <w:tblPr>
        <w:tblStyle w:val="TableNormal"/>
        <w:tblW w:w="91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3"/>
        <w:gridCol w:w="5810"/>
        <w:gridCol w:w="2702"/>
      </w:tblGrid>
      <w:tr w:rsidR="008D3897" w:rsidRPr="008D3897" w:rsidTr="00D27225">
        <w:trPr>
          <w:trHeight w:val="2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№ п/п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 xml:space="preserve">Выявленные нарушения Требований </w:t>
            </w:r>
            <w:r w:rsidRPr="008D3897">
              <w:rPr>
                <w:b/>
                <w:color w:val="000000"/>
                <w:sz w:val="24"/>
                <w:szCs w:val="24"/>
                <w:u w:color="000000"/>
              </w:rPr>
              <w:br/>
            </w: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>к организации охраны Заказчика</w:t>
            </w: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**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color w:val="000000"/>
                <w:sz w:val="24"/>
                <w:szCs w:val="24"/>
                <w:u w:color="000000"/>
              </w:rPr>
              <w:t>Срок устранения нарушения</w:t>
            </w: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567"/>
              </w:tabs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2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8D3897" w:rsidRPr="008D3897" w:rsidTr="00D27225">
        <w:trPr>
          <w:trHeight w:val="5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3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897" w:rsidRPr="008D3897" w:rsidRDefault="008D3897" w:rsidP="008D3897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Настоящий акт является основанием для привлечения Подрядчика к ответственности в соответствии с п. </w:t>
      </w:r>
      <w:r w:rsidRPr="008D38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ru-RU"/>
        </w:rPr>
        <w:t xml:space="preserve">21.2.29 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Договора.</w:t>
      </w:r>
    </w:p>
    <w:p w:rsidR="008D3897" w:rsidRPr="008D3897" w:rsidRDefault="008D3897" w:rsidP="008D38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3897">
        <w:rPr>
          <w:rFonts w:ascii="Times New Roman" w:eastAsia="Calibri" w:hAnsi="Times New Roman" w:cs="Times New Roman"/>
          <w:sz w:val="24"/>
          <w:szCs w:val="24"/>
        </w:rPr>
        <w:t xml:space="preserve">Настоящий акт выдан для принятия Подрядчиком надлежащих мер по устранению выявленных нарушений Требований к организации охраны, пропускного и </w:t>
      </w:r>
      <w:proofErr w:type="spellStart"/>
      <w:r w:rsidRPr="008D3897">
        <w:rPr>
          <w:rFonts w:ascii="Times New Roman" w:eastAsia="Calibri" w:hAnsi="Times New Roman" w:cs="Times New Roman"/>
          <w:sz w:val="24"/>
          <w:szCs w:val="24"/>
        </w:rPr>
        <w:t>внутриобъектового</w:t>
      </w:r>
      <w:proofErr w:type="spellEnd"/>
      <w:r w:rsidRPr="008D3897">
        <w:rPr>
          <w:rFonts w:ascii="Times New Roman" w:eastAsia="Calibri" w:hAnsi="Times New Roman" w:cs="Times New Roman"/>
          <w:sz w:val="24"/>
          <w:szCs w:val="24"/>
        </w:rPr>
        <w:t xml:space="preserve"> режима на строящихся (реконструируемых) объектах </w:t>
      </w:r>
      <w:r w:rsidRPr="008D389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«Россети»).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Информацию об исполнении требований настоящего акта Подрядчик обязан направить в письменном виде в адрес __________________________***.</w:t>
      </w:r>
    </w:p>
    <w:tbl>
      <w:tblPr>
        <w:tblStyle w:val="TableNormal"/>
        <w:tblW w:w="10009" w:type="dxa"/>
        <w:tblInd w:w="8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  <w:gridCol w:w="190"/>
        <w:gridCol w:w="180"/>
      </w:tblGrid>
      <w:tr w:rsidR="008D3897" w:rsidRPr="008D3897" w:rsidTr="00D27225">
        <w:trPr>
          <w:gridAfter w:val="2"/>
          <w:wAfter w:w="370" w:type="dxa"/>
          <w:trHeight w:val="31"/>
        </w:trPr>
        <w:tc>
          <w:tcPr>
            <w:tcW w:w="96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firstLine="709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b/>
                <w:bCs/>
                <w:color w:val="000000"/>
                <w:sz w:val="24"/>
                <w:szCs w:val="24"/>
                <w:u w:color="000000"/>
              </w:rPr>
              <w:t>При проведении проверки присутствовали:</w:t>
            </w:r>
          </w:p>
        </w:tc>
      </w:tr>
      <w:tr w:rsidR="008D3897" w:rsidRPr="008D3897" w:rsidTr="00D27225">
        <w:trPr>
          <w:trHeight w:val="211"/>
        </w:trPr>
        <w:tc>
          <w:tcPr>
            <w:tcW w:w="9829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Заказчика: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От Подрядчика: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>______________________________________________________________________</w:t>
            </w: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8D3897" w:rsidRPr="008D3897" w:rsidRDefault="008D3897" w:rsidP="008D3897">
            <w:pPr>
              <w:widowControl w:val="0"/>
              <w:tabs>
                <w:tab w:val="left" w:pos="8222"/>
              </w:tabs>
              <w:ind w:right="-8"/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8D3897">
              <w:rPr>
                <w:rFonts w:eastAsia="Times New Roman"/>
                <w:color w:val="000000"/>
                <w:sz w:val="24"/>
                <w:szCs w:val="24"/>
                <w:u w:val="single" w:color="000000"/>
              </w:rPr>
              <w:t>Иные лица:</w:t>
            </w:r>
            <w:r w:rsidRPr="008D3897">
              <w:rPr>
                <w:rFonts w:eastAsia="Times New Roman"/>
                <w:color w:val="000000"/>
                <w:sz w:val="24"/>
                <w:szCs w:val="24"/>
                <w:u w:color="000000"/>
              </w:rPr>
              <w:t xml:space="preserve"> _______________________________________</w:t>
            </w:r>
          </w:p>
        </w:tc>
        <w:tc>
          <w:tcPr>
            <w:tcW w:w="18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3897" w:rsidRPr="008D3897" w:rsidRDefault="008D3897" w:rsidP="008D3897">
            <w:pPr>
              <w:widowControl w:val="0"/>
              <w:ind w:right="-8"/>
              <w:rPr>
                <w:sz w:val="24"/>
                <w:szCs w:val="24"/>
              </w:rPr>
            </w:pPr>
          </w:p>
        </w:tc>
      </w:tr>
    </w:tbl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8" w:right="-8" w:hanging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От Заказчика                                          От Подрядчика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_______________ </w:t>
      </w: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(________________)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 xml:space="preserve">          ________________ (_____________)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>М.П.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 xml:space="preserve">     </w:t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</w:r>
      <w:r w:rsidRPr="008D389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ab/>
        <w:t xml:space="preserve">       М.П.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*Примечание. В разделе «Содержание акта» необходимо указать, дату, место, предмет проведения и иные фактические обстоятельства проведения проверки.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**Примечание. В столбце «Выявленные нарушения» необходимо указать состав нарушения и ссылку на пункт Требований.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>***Примечание. При необходимости указывается подразделение Заказчика, ответственное за проверку устранения выявленных нарушений, в прочих случаях указывается слово «Заказчика».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314B69" w:rsidRDefault="00314B69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14B69" w:rsidRDefault="00314B69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314B69" w:rsidRDefault="00314B69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8D3897" w:rsidRPr="00314B69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</w:pPr>
      <w:r w:rsidRPr="00314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  <w:t xml:space="preserve">ФОРМУ </w:t>
      </w:r>
      <w:r w:rsidR="00314B69" w:rsidRPr="00314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  <w:t>СОГЛАСОВАЛИ:</w:t>
      </w:r>
      <w:r w:rsidR="00314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  <w:t xml:space="preserve"> __________________________________________________</w:t>
      </w:r>
    </w:p>
    <w:p w:rsidR="008D3897" w:rsidRPr="008D3897" w:rsidRDefault="008D3897" w:rsidP="008D389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8D38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5323"/>
      </w:tblGrid>
      <w:tr w:rsidR="00FC328D" w:rsidRPr="00B7747A" w:rsidTr="00FD3725">
        <w:tc>
          <w:tcPr>
            <w:tcW w:w="4248" w:type="dxa"/>
            <w:shd w:val="clear" w:color="auto" w:fill="auto"/>
          </w:tcPr>
          <w:p w:rsidR="00FC328D" w:rsidRPr="00B7747A" w:rsidRDefault="00FC328D" w:rsidP="00FD37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23" w:type="dxa"/>
            <w:shd w:val="clear" w:color="auto" w:fill="auto"/>
          </w:tcPr>
          <w:p w:rsidR="00FC328D" w:rsidRPr="00B7747A" w:rsidRDefault="00FC328D" w:rsidP="00FD3725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C328D" w:rsidRPr="00B7747A" w:rsidTr="00FD3725">
        <w:trPr>
          <w:trHeight w:val="1128"/>
        </w:trPr>
        <w:tc>
          <w:tcPr>
            <w:tcW w:w="4248" w:type="dxa"/>
            <w:shd w:val="clear" w:color="auto" w:fill="auto"/>
          </w:tcPr>
          <w:p w:rsidR="00FC328D" w:rsidRPr="00B7747A" w:rsidRDefault="002E2C5E" w:rsidP="00FD37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FC328D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</w:tc>
        <w:tc>
          <w:tcPr>
            <w:tcW w:w="5323" w:type="dxa"/>
            <w:shd w:val="clear" w:color="auto" w:fill="auto"/>
          </w:tcPr>
          <w:p w:rsidR="00FC328D" w:rsidRPr="00B7747A" w:rsidRDefault="00FC328D" w:rsidP="00FD3725">
            <w:pPr>
              <w:pStyle w:val="a3"/>
              <w:ind w:left="567"/>
            </w:pPr>
          </w:p>
        </w:tc>
      </w:tr>
      <w:tr w:rsidR="00FC328D" w:rsidRPr="00B7747A" w:rsidTr="00FD3725">
        <w:trPr>
          <w:trHeight w:val="821"/>
        </w:trPr>
        <w:tc>
          <w:tcPr>
            <w:tcW w:w="4248" w:type="dxa"/>
            <w:shd w:val="clear" w:color="auto" w:fill="auto"/>
          </w:tcPr>
          <w:p w:rsidR="00FC328D" w:rsidRDefault="00FC328D" w:rsidP="00FD3725">
            <w:pPr>
              <w:pStyle w:val="a3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 xml:space="preserve">_____________________А.А. </w:t>
            </w:r>
            <w:proofErr w:type="spellStart"/>
            <w:r w:rsidRPr="00D30F39">
              <w:rPr>
                <w:rFonts w:ascii="Times New Roman" w:hAnsi="Times New Roman" w:cs="Times New Roman"/>
              </w:rPr>
              <w:t>Ухтин</w:t>
            </w:r>
            <w:proofErr w:type="spellEnd"/>
          </w:p>
          <w:p w:rsidR="00314B69" w:rsidRPr="00D30F39" w:rsidRDefault="00314B69" w:rsidP="00FD3725">
            <w:pPr>
              <w:pStyle w:val="a3"/>
              <w:rPr>
                <w:rFonts w:ascii="Times New Roman" w:hAnsi="Times New Roman" w:cs="Times New Roman"/>
              </w:rPr>
            </w:pPr>
          </w:p>
          <w:p w:rsidR="00FC328D" w:rsidRPr="00D30F39" w:rsidRDefault="00FC328D" w:rsidP="00FD3725">
            <w:pPr>
              <w:pStyle w:val="a3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>«____</w:t>
            </w:r>
            <w:proofErr w:type="gramStart"/>
            <w:r w:rsidRPr="00D30F39">
              <w:rPr>
                <w:rFonts w:ascii="Times New Roman" w:hAnsi="Times New Roman" w:cs="Times New Roman"/>
              </w:rPr>
              <w:t>_»_</w:t>
            </w:r>
            <w:proofErr w:type="gramEnd"/>
            <w:r w:rsidRPr="00D30F39">
              <w:rPr>
                <w:rFonts w:ascii="Times New Roman" w:hAnsi="Times New Roman" w:cs="Times New Roman"/>
              </w:rPr>
              <w:t>________________202</w:t>
            </w:r>
            <w:r w:rsidR="00D51D76">
              <w:rPr>
                <w:rFonts w:ascii="Times New Roman" w:hAnsi="Times New Roman" w:cs="Times New Roman"/>
              </w:rPr>
              <w:t>6</w:t>
            </w:r>
            <w:r w:rsidRPr="00D30F39">
              <w:rPr>
                <w:rFonts w:ascii="Times New Roman" w:hAnsi="Times New Roman" w:cs="Times New Roman"/>
              </w:rPr>
              <w:t xml:space="preserve"> г.</w:t>
            </w:r>
          </w:p>
          <w:p w:rsidR="00FC328D" w:rsidRPr="00B7747A" w:rsidRDefault="00FC328D" w:rsidP="00FD3725">
            <w:pPr>
              <w:pStyle w:val="a3"/>
            </w:pPr>
            <w:r w:rsidRPr="00D30F39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5323" w:type="dxa"/>
            <w:shd w:val="clear" w:color="auto" w:fill="auto"/>
          </w:tcPr>
          <w:p w:rsidR="00FC328D" w:rsidRDefault="00FC328D" w:rsidP="00FD372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314B69" w:rsidRPr="00D30F39" w:rsidRDefault="00314B69" w:rsidP="00FD372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28D" w:rsidRPr="00D30F39" w:rsidRDefault="00FC328D" w:rsidP="00FD372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D51D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C328D" w:rsidRPr="00B7747A" w:rsidRDefault="00FC328D" w:rsidP="00FD3725">
            <w:pPr>
              <w:pStyle w:val="a3"/>
              <w:ind w:left="567"/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8D3897" w:rsidRPr="008D3897" w:rsidRDefault="008D3897" w:rsidP="008D3897">
      <w:pPr>
        <w:widowControl w:val="0"/>
        <w:tabs>
          <w:tab w:val="left" w:pos="9840"/>
        </w:tabs>
        <w:spacing w:after="0" w:line="240" w:lineRule="auto"/>
        <w:ind w:left="6372"/>
        <w:rPr>
          <w:rFonts w:ascii="Times New Roman" w:eastAsia="Calibri" w:hAnsi="Times New Roman" w:cs="Times New Roman"/>
          <w:sz w:val="24"/>
          <w:szCs w:val="24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Pr="00335E6D" w:rsidRDefault="00335E6D" w:rsidP="00335E6D">
      <w:pPr>
        <w:rPr>
          <w:rFonts w:ascii="Calibri" w:eastAsia="Calibri" w:hAnsi="Calibri" w:cs="Times New Roman"/>
        </w:rPr>
      </w:pPr>
    </w:p>
    <w:p w:rsidR="00335E6D" w:rsidRDefault="00335E6D" w:rsidP="00335E6D">
      <w:pPr>
        <w:rPr>
          <w:rFonts w:ascii="Calibri" w:eastAsia="Calibri" w:hAnsi="Calibri" w:cs="Times New Roman"/>
        </w:rPr>
      </w:pPr>
    </w:p>
    <w:p w:rsidR="007F15D8" w:rsidRDefault="00335E6D" w:rsidP="00335E6D">
      <w:pPr>
        <w:tabs>
          <w:tab w:val="left" w:pos="4212"/>
        </w:tabs>
      </w:pPr>
      <w:r>
        <w:rPr>
          <w:rFonts w:ascii="Calibri" w:eastAsia="Calibri" w:hAnsi="Calibri" w:cs="Times New Roman"/>
        </w:rPr>
        <w:tab/>
      </w:r>
    </w:p>
    <w:sectPr w:rsidR="007F15D8" w:rsidSect="00FD54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6E60"/>
    <w:multiLevelType w:val="multilevel"/>
    <w:tmpl w:val="09B232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="Arial Unicode MS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 Unicode MS" w:hint="default"/>
      </w:rPr>
    </w:lvl>
  </w:abstractNum>
  <w:abstractNum w:abstractNumId="1" w15:restartNumberingAfterBreak="0">
    <w:nsid w:val="13B7100A"/>
    <w:multiLevelType w:val="hybridMultilevel"/>
    <w:tmpl w:val="BFC8F460"/>
    <w:numStyleLink w:val="39"/>
  </w:abstractNum>
  <w:abstractNum w:abstractNumId="2" w15:restartNumberingAfterBreak="0">
    <w:nsid w:val="1CF511C7"/>
    <w:multiLevelType w:val="hybridMultilevel"/>
    <w:tmpl w:val="B412B36C"/>
    <w:numStyleLink w:val="41"/>
  </w:abstractNum>
  <w:abstractNum w:abstractNumId="3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0833335"/>
    <w:multiLevelType w:val="multilevel"/>
    <w:tmpl w:val="70FE19A6"/>
    <w:lvl w:ilvl="0">
      <w:start w:val="3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Arial Unicode MS" w:hint="default"/>
      </w:rPr>
    </w:lvl>
  </w:abstractNum>
  <w:abstractNum w:abstractNumId="7" w15:restartNumberingAfterBreak="0">
    <w:nsid w:val="712309F6"/>
    <w:multiLevelType w:val="hybridMultilevel"/>
    <w:tmpl w:val="2F2863BC"/>
    <w:numStyleLink w:val="42"/>
  </w:abstractNum>
  <w:abstractNum w:abstractNumId="8" w15:restartNumberingAfterBreak="0">
    <w:nsid w:val="71D373B9"/>
    <w:multiLevelType w:val="multilevel"/>
    <w:tmpl w:val="76B8FB18"/>
    <w:numStyleLink w:val="38"/>
  </w:abstractNum>
  <w:abstractNum w:abstractNumId="9" w15:restartNumberingAfterBreak="0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8"/>
    <w:lvlOverride w:ilvl="0">
      <w:startOverride w:val="2"/>
    </w:lvlOverride>
  </w:num>
  <w:num w:numId="3">
    <w:abstractNumId w:val="5"/>
  </w:num>
  <w:num w:numId="4">
    <w:abstractNumId w:val="1"/>
  </w:num>
  <w:num w:numId="5">
    <w:abstractNumId w:val="1"/>
    <w:lvlOverride w:ilvl="0">
      <w:lvl w:ilvl="0" w:tplc="1B40B184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E6285A">
        <w:start w:val="1"/>
        <w:numFmt w:val="bullet"/>
        <w:lvlText w:val="-"/>
        <w:lvlJc w:val="left"/>
        <w:pPr>
          <w:tabs>
            <w:tab w:val="num" w:pos="993"/>
            <w:tab w:val="left" w:pos="1211"/>
            <w:tab w:val="left" w:pos="2089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36EC9A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DFA8186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2ABB8A">
        <w:start w:val="1"/>
        <w:numFmt w:val="bullet"/>
        <w:lvlText w:val="o"/>
        <w:lvlJc w:val="left"/>
        <w:pPr>
          <w:tabs>
            <w:tab w:val="left" w:pos="993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74E3AC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DE1C2A">
        <w:start w:val="1"/>
        <w:numFmt w:val="bullet"/>
        <w:lvlText w:val="•"/>
        <w:lvlJc w:val="left"/>
        <w:pPr>
          <w:tabs>
            <w:tab w:val="left" w:pos="993"/>
            <w:tab w:val="left" w:pos="1211"/>
            <w:tab w:val="left" w:pos="2089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D640258">
        <w:start w:val="1"/>
        <w:numFmt w:val="bullet"/>
        <w:lvlText w:val="o"/>
        <w:lvlJc w:val="left"/>
        <w:pPr>
          <w:tabs>
            <w:tab w:val="left" w:pos="993"/>
            <w:tab w:val="left" w:pos="1211"/>
            <w:tab w:val="left" w:pos="2089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C3EB646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  <w:lvlOverride w:ilvl="0">
      <w:lvl w:ilvl="0" w:tplc="1B40B184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EE6285A">
        <w:start w:val="1"/>
        <w:numFmt w:val="bullet"/>
        <w:lvlText w:val="-"/>
        <w:lvlJc w:val="left"/>
        <w:pPr>
          <w:tabs>
            <w:tab w:val="num" w:pos="928"/>
            <w:tab w:val="left" w:pos="1080"/>
            <w:tab w:val="left" w:pos="1211"/>
          </w:tabs>
          <w:ind w:left="219" w:firstLine="49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36EC9A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DFA8186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62ABB8A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74E3AC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DE1C2A">
        <w:start w:val="1"/>
        <w:numFmt w:val="bullet"/>
        <w:lvlText w:val="•"/>
        <w:lvlJc w:val="left"/>
        <w:pPr>
          <w:tabs>
            <w:tab w:val="left" w:pos="928"/>
            <w:tab w:val="left" w:pos="1080"/>
            <w:tab w:val="left" w:pos="1211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D640258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C3EB646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9"/>
  </w:num>
  <w:num w:numId="8">
    <w:abstractNumId w:val="2"/>
  </w:num>
  <w:num w:numId="9">
    <w:abstractNumId w:val="2"/>
    <w:lvlOverride w:ilvl="0">
      <w:lvl w:ilvl="0" w:tplc="82DE02F4">
        <w:start w:val="1"/>
        <w:numFmt w:val="bullet"/>
        <w:lvlText w:val="-"/>
        <w:lvlJc w:val="left"/>
        <w:pPr>
          <w:tabs>
            <w:tab w:val="left" w:pos="502"/>
            <w:tab w:val="num" w:pos="993"/>
            <w:tab w:val="left" w:pos="1440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D466A24">
        <w:start w:val="1"/>
        <w:numFmt w:val="bullet"/>
        <w:lvlText w:val="o"/>
        <w:lvlJc w:val="left"/>
        <w:pPr>
          <w:tabs>
            <w:tab w:val="left" w:pos="502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D427320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2149"/>
          </w:tabs>
          <w:ind w:left="14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312915C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2869"/>
          </w:tabs>
          <w:ind w:left="21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45CA472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3589"/>
          </w:tabs>
          <w:ind w:left="288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AE6FEE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4309"/>
          </w:tabs>
          <w:ind w:left="360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7D4C78E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5029"/>
          </w:tabs>
          <w:ind w:left="432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31C1DB4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5749"/>
          </w:tabs>
          <w:ind w:left="50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0C9576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6469"/>
          </w:tabs>
          <w:ind w:left="57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</w:num>
  <w:num w:numId="11">
    <w:abstractNumId w:val="7"/>
  </w:num>
  <w:num w:numId="12">
    <w:abstractNumId w:val="7"/>
    <w:lvlOverride w:ilvl="0">
      <w:lvl w:ilvl="0" w:tplc="0DD4E9FA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8366432">
        <w:start w:val="1"/>
        <w:numFmt w:val="bullet"/>
        <w:lvlText w:val="-"/>
        <w:lvlJc w:val="left"/>
        <w:pPr>
          <w:tabs>
            <w:tab w:val="num" w:pos="993"/>
            <w:tab w:val="left" w:pos="1080"/>
            <w:tab w:val="left" w:pos="2235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1C434E8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6282732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8242D6">
        <w:start w:val="1"/>
        <w:numFmt w:val="bullet"/>
        <w:lvlText w:val="o"/>
        <w:lvlJc w:val="left"/>
        <w:pPr>
          <w:tabs>
            <w:tab w:val="left" w:pos="993"/>
            <w:tab w:val="left" w:pos="108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AC4BF6">
        <w:start w:val="1"/>
        <w:numFmt w:val="bullet"/>
        <w:lvlText w:val="▪"/>
        <w:lvlJc w:val="left"/>
        <w:pPr>
          <w:tabs>
            <w:tab w:val="left" w:pos="993"/>
            <w:tab w:val="left" w:pos="108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666706">
        <w:start w:val="1"/>
        <w:numFmt w:val="bullet"/>
        <w:lvlText w:val="•"/>
        <w:lvlJc w:val="left"/>
        <w:pPr>
          <w:tabs>
            <w:tab w:val="left" w:pos="993"/>
            <w:tab w:val="left" w:pos="108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8B06752">
        <w:start w:val="1"/>
        <w:numFmt w:val="bullet"/>
        <w:lvlText w:val="o"/>
        <w:lvlJc w:val="left"/>
        <w:pPr>
          <w:tabs>
            <w:tab w:val="left" w:pos="993"/>
            <w:tab w:val="left" w:pos="108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FE805C0">
        <w:start w:val="1"/>
        <w:numFmt w:val="bullet"/>
        <w:lvlText w:val="▪"/>
        <w:lvlJc w:val="left"/>
        <w:pPr>
          <w:tabs>
            <w:tab w:val="left" w:pos="993"/>
            <w:tab w:val="left" w:pos="108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7"/>
    <w:lvlOverride w:ilvl="0">
      <w:lvl w:ilvl="0" w:tplc="0DD4E9FA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8366432">
        <w:start w:val="1"/>
        <w:numFmt w:val="bullet"/>
        <w:lvlText w:val="-"/>
        <w:lvlJc w:val="left"/>
        <w:pPr>
          <w:tabs>
            <w:tab w:val="num" w:pos="960"/>
            <w:tab w:val="left" w:pos="2235"/>
          </w:tabs>
          <w:ind w:left="251" w:firstLine="45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1C434E8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6282732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8242D6">
        <w:start w:val="1"/>
        <w:numFmt w:val="bullet"/>
        <w:lvlText w:val="o"/>
        <w:lvlJc w:val="left"/>
        <w:pPr>
          <w:tabs>
            <w:tab w:val="left" w:pos="96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AC4BF6">
        <w:start w:val="1"/>
        <w:numFmt w:val="bullet"/>
        <w:lvlText w:val="▪"/>
        <w:lvlJc w:val="left"/>
        <w:pPr>
          <w:tabs>
            <w:tab w:val="left" w:pos="96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666706">
        <w:start w:val="1"/>
        <w:numFmt w:val="bullet"/>
        <w:lvlText w:val="•"/>
        <w:lvlJc w:val="left"/>
        <w:pPr>
          <w:tabs>
            <w:tab w:val="left" w:pos="96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8B06752">
        <w:start w:val="1"/>
        <w:numFmt w:val="bullet"/>
        <w:lvlText w:val="o"/>
        <w:lvlJc w:val="left"/>
        <w:pPr>
          <w:tabs>
            <w:tab w:val="left" w:pos="96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FE805C0">
        <w:start w:val="1"/>
        <w:numFmt w:val="bullet"/>
        <w:lvlText w:val="▪"/>
        <w:lvlJc w:val="left"/>
        <w:pPr>
          <w:tabs>
            <w:tab w:val="left" w:pos="96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2D"/>
    <w:rsid w:val="000162A6"/>
    <w:rsid w:val="001B479D"/>
    <w:rsid w:val="001C202D"/>
    <w:rsid w:val="0026699F"/>
    <w:rsid w:val="002E2C5E"/>
    <w:rsid w:val="00314B69"/>
    <w:rsid w:val="00325BFA"/>
    <w:rsid w:val="00335E6D"/>
    <w:rsid w:val="00574C0F"/>
    <w:rsid w:val="005976AF"/>
    <w:rsid w:val="005B1C9F"/>
    <w:rsid w:val="005E738B"/>
    <w:rsid w:val="007F15D8"/>
    <w:rsid w:val="008D3897"/>
    <w:rsid w:val="00A84D3E"/>
    <w:rsid w:val="00BE11F8"/>
    <w:rsid w:val="00C15B54"/>
    <w:rsid w:val="00D51D76"/>
    <w:rsid w:val="00F13139"/>
    <w:rsid w:val="00FB3D0A"/>
    <w:rsid w:val="00FC328D"/>
    <w:rsid w:val="00FD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F6B3"/>
  <w15:docId w15:val="{42F3D1D4-591A-494B-8F36-C3150D12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5E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8">
    <w:name w:val="Импортированный стиль 38"/>
    <w:rsid w:val="00335E6D"/>
    <w:pPr>
      <w:numPr>
        <w:numId w:val="1"/>
      </w:numPr>
    </w:pPr>
  </w:style>
  <w:style w:type="numbering" w:customStyle="1" w:styleId="39">
    <w:name w:val="Импортированный стиль 39"/>
    <w:rsid w:val="00335E6D"/>
    <w:pPr>
      <w:numPr>
        <w:numId w:val="3"/>
      </w:numPr>
    </w:pPr>
  </w:style>
  <w:style w:type="numbering" w:customStyle="1" w:styleId="41">
    <w:name w:val="Импортированный стиль 41"/>
    <w:rsid w:val="00335E6D"/>
    <w:pPr>
      <w:numPr>
        <w:numId w:val="7"/>
      </w:numPr>
    </w:pPr>
  </w:style>
  <w:style w:type="numbering" w:customStyle="1" w:styleId="42">
    <w:name w:val="Импортированный стиль 42"/>
    <w:rsid w:val="00335E6D"/>
    <w:pPr>
      <w:numPr>
        <w:numId w:val="10"/>
      </w:numPr>
    </w:pPr>
  </w:style>
  <w:style w:type="paragraph" w:styleId="a3">
    <w:name w:val="No Spacing"/>
    <w:uiPriority w:val="1"/>
    <w:qFormat/>
    <w:rsid w:val="00FC328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15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B5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E7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3591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19</cp:revision>
  <cp:lastPrinted>2025-05-15T13:24:00Z</cp:lastPrinted>
  <dcterms:created xsi:type="dcterms:W3CDTF">2023-05-26T11:00:00Z</dcterms:created>
  <dcterms:modified xsi:type="dcterms:W3CDTF">2026-02-19T07:55:00Z</dcterms:modified>
</cp:coreProperties>
</file>